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ED9" w:rsidRPr="00693ED9" w:rsidRDefault="008567B1" w:rsidP="00693ED9">
      <w:pPr>
        <w:spacing w:after="0"/>
      </w:pPr>
      <w:r>
        <w:rPr>
          <w:noProof/>
        </w:rPr>
        <w:pict>
          <v:rect id="_x0000_s1033" style="position:absolute;margin-left:88.65pt;margin-top:147.15pt;width:434pt;height:110.85pt;z-index:251658240;mso-wrap-distance-left:12pt;mso-wrap-distance-top:12pt;mso-wrap-distance-right:12pt;mso-wrap-distance-bottom:12pt;mso-position-horizontal-relative:page;mso-position-vertical-relative:page" coordsize="21600,21600" filled="f" stroked="f" strokeweight="1pt">
            <v:fill o:detectmouseclick="t"/>
            <v:path arrowok="t" o:connectlocs="10800,10800"/>
            <v:textbox style="mso-next-textbox:#_x0000_s1033" inset="0,0,0,0">
              <w:txbxContent>
                <w:p w:rsidR="00F55617" w:rsidRPr="00693ED9" w:rsidRDefault="00F55617" w:rsidP="00F55617">
                  <w:pPr>
                    <w:pStyle w:val="TitleA"/>
                    <w:jc w:val="center"/>
                    <w:rPr>
                      <w:sz w:val="48"/>
                      <w:szCs w:val="48"/>
                    </w:rPr>
                  </w:pPr>
                  <w:r>
                    <w:t xml:space="preserve">    </w:t>
                  </w:r>
                  <w:r w:rsidRPr="00693ED9">
                    <w:rPr>
                      <w:sz w:val="48"/>
                      <w:szCs w:val="48"/>
                    </w:rPr>
                    <w:t>DA Office Awarded Annual Grant for No Refusal Initiative Ahead of Labor Day</w:t>
                  </w:r>
                </w:p>
                <w:p w:rsidR="00F55617" w:rsidRDefault="00F55617" w:rsidP="00F55617">
                  <w:pPr>
                    <w:pStyle w:val="TitleA"/>
                    <w:rPr>
                      <w:b w:val="0"/>
                      <w:i/>
                      <w:sz w:val="24"/>
                    </w:rPr>
                  </w:pPr>
                  <w:r>
                    <w:t xml:space="preserve">   </w:t>
                  </w:r>
                  <w:r>
                    <w:rPr>
                      <w:b w:val="0"/>
                      <w:i/>
                      <w:sz w:val="24"/>
                    </w:rPr>
                    <w:t>3,600 arrested for drinking and driving since 24/7 no refusal enforcement began in April</w:t>
                  </w:r>
                </w:p>
                <w:p w:rsidR="00F55617" w:rsidRPr="0087136E" w:rsidRDefault="00F55617" w:rsidP="00F55617">
                  <w:pPr>
                    <w:pStyle w:val="BodyA"/>
                  </w:pPr>
                </w:p>
                <w:p w:rsidR="00F55617" w:rsidRDefault="00F55617" w:rsidP="00F55617">
                  <w:pPr>
                    <w:pStyle w:val="BodyA"/>
                    <w:rPr>
                      <w:rFonts w:ascii="Lucida Grande" w:hAnsi="Lucida Grande"/>
                      <w:sz w:val="22"/>
                    </w:rPr>
                  </w:pPr>
                </w:p>
                <w:p w:rsidR="00F55617" w:rsidRDefault="00F55617" w:rsidP="00F55617"/>
                <w:p w:rsidR="00F55617" w:rsidRDefault="00F55617" w:rsidP="00F55617">
                  <w:pPr>
                    <w:pStyle w:val="BodyA"/>
                  </w:pPr>
                </w:p>
                <w:p w:rsidR="00F55617" w:rsidRDefault="00F55617" w:rsidP="00F55617">
                  <w:pPr>
                    <w:pStyle w:val="BodyA"/>
                  </w:pPr>
                </w:p>
                <w:p w:rsidR="00F55617" w:rsidRDefault="00F55617" w:rsidP="00F55617">
                  <w:pPr>
                    <w:pStyle w:val="BodyA"/>
                  </w:pPr>
                </w:p>
                <w:p w:rsidR="00F55617" w:rsidRDefault="00F55617" w:rsidP="00F55617">
                  <w:pPr>
                    <w:pStyle w:val="TitleA"/>
                  </w:pPr>
                </w:p>
                <w:p w:rsidR="00F55617" w:rsidRDefault="00F55617" w:rsidP="00F55617">
                  <w:pPr>
                    <w:pStyle w:val="TitleA"/>
                    <w:rPr>
                      <w:rFonts w:ascii="Times New Roman" w:eastAsia="Times New Roman" w:hAnsi="Times New Roman"/>
                      <w:b w:val="0"/>
                      <w:color w:val="auto"/>
                      <w:sz w:val="20"/>
                    </w:rPr>
                  </w:pPr>
                </w:p>
              </w:txbxContent>
            </v:textbox>
            <w10:wrap type="square" anchorx="page" anchory="page"/>
          </v:rect>
        </w:pict>
      </w:r>
      <w:bookmarkStart w:id="0" w:name="_GoBack"/>
      <w:bookmarkEnd w:id="0"/>
      <w:r w:rsidR="00693ED9">
        <w:t xml:space="preserve">District Attorney Mike Anderson announced today that his office has been awarded nearly half a million dollars in funding for the </w:t>
      </w:r>
      <w:r w:rsidR="00693ED9" w:rsidRPr="00012293">
        <w:t xml:space="preserve">DWI </w:t>
      </w:r>
      <w:r w:rsidR="00693ED9">
        <w:t xml:space="preserve">No Refusal program. The funding is provided by the Texas Department of Transportation by way of a federal grant. </w:t>
      </w:r>
    </w:p>
    <w:p w:rsidR="00693ED9" w:rsidRDefault="00693ED9" w:rsidP="00693ED9">
      <w:pPr>
        <w:spacing w:after="0"/>
      </w:pPr>
      <w:r>
        <w:t>Under the No Refusal Initiative, a search warrant will be issued to draw the blood of any suspected intoxicated driver who refuses a breathalyzer or to give a blood sample.</w:t>
      </w:r>
    </w:p>
    <w:p w:rsidR="00693ED9" w:rsidRDefault="00693ED9" w:rsidP="00693ED9">
      <w:pPr>
        <w:spacing w:after="0"/>
      </w:pPr>
    </w:p>
    <w:p w:rsidR="00693ED9" w:rsidRPr="00263B1D" w:rsidRDefault="00693ED9" w:rsidP="00693ED9">
      <w:pPr>
        <w:spacing w:after="0"/>
      </w:pPr>
      <w:r>
        <w:t>In April, Harris County District Attorney’s office became</w:t>
      </w:r>
      <w:r w:rsidRPr="00263B1D">
        <w:t xml:space="preserve"> one of the first </w:t>
      </w:r>
      <w:r>
        <w:t xml:space="preserve">Houston Area counties </w:t>
      </w:r>
      <w:r w:rsidRPr="00263B1D">
        <w:t>to enforce no refusal every day.</w:t>
      </w:r>
    </w:p>
    <w:p w:rsidR="00693ED9" w:rsidRDefault="00693ED9" w:rsidP="00693ED9">
      <w:pPr>
        <w:spacing w:after="0"/>
      </w:pPr>
    </w:p>
    <w:p w:rsidR="00693ED9" w:rsidRDefault="00693ED9" w:rsidP="00693ED9">
      <w:pPr>
        <w:spacing w:after="0"/>
        <w:rPr>
          <w:b/>
        </w:rPr>
      </w:pPr>
      <w:r>
        <w:t xml:space="preserve">“One of the most sobering and disheartening titles that Harris County holds is that of the Nation’s leader in intoxicated related fatalities. We must fight to protect our citizens and continue to make the people of Harris County aware of the dangers of impaired driving. By utilizing a 24/7 no refusal program, we can increase the awareness of this problem while also decreasing the number of injuries and fatalities. Our goal is always to make Harris County a safe place for our citizens to live </w:t>
      </w:r>
      <w:r w:rsidRPr="00012293">
        <w:t>and drive</w:t>
      </w:r>
      <w:r>
        <w:t>,” said Alison Baimbridge, Chief of Vehicular Crimes in the Harris County DA’s Office.</w:t>
      </w:r>
    </w:p>
    <w:p w:rsidR="00693ED9" w:rsidRDefault="00693ED9" w:rsidP="00693ED9">
      <w:pPr>
        <w:spacing w:after="0"/>
      </w:pPr>
    </w:p>
    <w:p w:rsidR="00693ED9" w:rsidRDefault="00693ED9" w:rsidP="00693ED9">
      <w:pPr>
        <w:spacing w:after="0"/>
      </w:pPr>
      <w:r>
        <w:t>On Tuesday morning, The Harris County Commissioner’s Court accepted the $408,485.56 grant from the Texas Department of Transportation.</w:t>
      </w:r>
    </w:p>
    <w:p w:rsidR="00693ED9" w:rsidRDefault="00693ED9" w:rsidP="00693ED9">
      <w:pPr>
        <w:spacing w:after="0"/>
      </w:pPr>
    </w:p>
    <w:p w:rsidR="00693ED9" w:rsidRDefault="00693ED9" w:rsidP="00693ED9">
      <w:pPr>
        <w:spacing w:after="0"/>
        <w:rPr>
          <w:b/>
        </w:rPr>
      </w:pPr>
      <w:r>
        <w:t xml:space="preserve">“The grant is extremely important to Harris County because it allows us to have the means by which to combat impaired driving and also to obtain the best evidence,” said Baimbridge. “The no refusal grant also provides Harris County the opportunity to have the necessary resources to obtain that evidence in a centralized location for the officers so that they can more efficiently reduce the number of </w:t>
      </w:r>
      <w:r w:rsidRPr="00012293">
        <w:t>DWI-related</w:t>
      </w:r>
      <w:r>
        <w:t xml:space="preserve"> drivers on the roads of Harris County, Texas.” </w:t>
      </w:r>
    </w:p>
    <w:p w:rsidR="00693ED9" w:rsidRDefault="00693ED9" w:rsidP="00693ED9">
      <w:pPr>
        <w:spacing w:after="0"/>
      </w:pPr>
    </w:p>
    <w:p w:rsidR="00693ED9" w:rsidRDefault="00693ED9" w:rsidP="00B06D80">
      <w:pPr>
        <w:spacing w:after="0"/>
      </w:pPr>
      <w:r w:rsidRPr="00012293">
        <w:t>Harris County</w:t>
      </w:r>
      <w:r>
        <w:t xml:space="preserve"> leads the nation in DWI fatalities. The goal is to try and lower the numbers, reduce the number of impaired drivers on the roads and save lives.</w:t>
      </w:r>
    </w:p>
    <w:p w:rsidR="006F3E1B" w:rsidRDefault="006F3E1B" w:rsidP="00B06D80">
      <w:pPr>
        <w:spacing w:after="0"/>
      </w:pPr>
    </w:p>
    <w:p w:rsidR="006F3E1B" w:rsidRDefault="006F3E1B" w:rsidP="00B06D80">
      <w:pPr>
        <w:spacing w:after="0"/>
      </w:pPr>
    </w:p>
    <w:p w:rsidR="00693ED9" w:rsidRPr="00FD0B38" w:rsidRDefault="00693ED9" w:rsidP="00693ED9">
      <w:pPr>
        <w:tabs>
          <w:tab w:val="left" w:pos="1050"/>
        </w:tabs>
        <w:spacing w:after="0"/>
      </w:pPr>
    </w:p>
    <w:sectPr w:rsidR="00693ED9" w:rsidRPr="00FD0B38" w:rsidSect="006F3E1B">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37F5" w:rsidRDefault="00CA37F5" w:rsidP="00E20983">
      <w:pPr>
        <w:spacing w:after="0" w:line="240" w:lineRule="auto"/>
      </w:pPr>
      <w:r>
        <w:separator/>
      </w:r>
    </w:p>
  </w:endnote>
  <w:endnote w:type="continuationSeparator" w:id="0">
    <w:p w:rsidR="00CA37F5" w:rsidRDefault="00CA37F5" w:rsidP="00E209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pitch w:val="variable"/>
    <w:sig w:usb0="20002A87" w:usb1="80000000" w:usb2="00000008" w:usb3="00000000" w:csb0="000001FF" w:csb1="00000000"/>
  </w:font>
  <w:font w:name="ヒラギノ角ゴ Pro W3">
    <w:altName w:val="Times New Roman"/>
    <w:charset w:val="00"/>
    <w:family w:val="roman"/>
    <w:pitch w:val="default"/>
    <w:sig w:usb0="00000000" w:usb1="00000000" w:usb2="00000000" w:usb3="00000000" w:csb0="00000000" w:csb1="00000000"/>
  </w:font>
  <w:font w:name="Lucida Grande">
    <w:altName w:val="Times New Roman"/>
    <w:charset w:val="00"/>
    <w:family w:val="roman"/>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224" w:rsidRDefault="00F2022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224" w:rsidRDefault="00F2022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224" w:rsidRDefault="00F2022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37F5" w:rsidRDefault="00CA37F5" w:rsidP="00E20983">
      <w:pPr>
        <w:spacing w:after="0" w:line="240" w:lineRule="auto"/>
      </w:pPr>
      <w:r>
        <w:separator/>
      </w:r>
    </w:p>
  </w:footnote>
  <w:footnote w:type="continuationSeparator" w:id="0">
    <w:p w:rsidR="00CA37F5" w:rsidRDefault="00CA37F5" w:rsidP="00E2098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224" w:rsidRDefault="00F2022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224" w:rsidRDefault="00F2022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tblPr>
    <w:tblGrid>
      <w:gridCol w:w="3167"/>
      <w:gridCol w:w="3268"/>
      <w:gridCol w:w="3141"/>
    </w:tblGrid>
    <w:tr w:rsidR="006F3E1B" w:rsidTr="001B4530">
      <w:tc>
        <w:tcPr>
          <w:tcW w:w="3672" w:type="dxa"/>
          <w:shd w:val="clear" w:color="auto" w:fill="FFFFFF" w:themeFill="background1"/>
        </w:tcPr>
        <w:p w:rsidR="006F3E1B" w:rsidRPr="00E20983" w:rsidRDefault="006F3E1B" w:rsidP="001B4530">
          <w:pPr>
            <w:pStyle w:val="Header"/>
            <w:rPr>
              <w:rFonts w:ascii="Times New Roman" w:hAnsi="Times New Roman" w:cs="Times New Roman"/>
              <w:b/>
              <w:sz w:val="24"/>
              <w:szCs w:val="24"/>
            </w:rPr>
          </w:pPr>
          <w:r>
            <w:rPr>
              <w:rFonts w:ascii="Times New Roman" w:hAnsi="Times New Roman" w:cs="Times New Roman"/>
              <w:b/>
              <w:sz w:val="24"/>
              <w:szCs w:val="24"/>
            </w:rPr>
            <w:t xml:space="preserve">Belinda </w:t>
          </w:r>
          <w:r w:rsidRPr="00E20983">
            <w:rPr>
              <w:rFonts w:ascii="Times New Roman" w:hAnsi="Times New Roman" w:cs="Times New Roman"/>
              <w:b/>
              <w:sz w:val="24"/>
              <w:szCs w:val="24"/>
            </w:rPr>
            <w:t>Hill</w:t>
          </w:r>
        </w:p>
        <w:p w:rsidR="006F3E1B" w:rsidRDefault="006F3E1B" w:rsidP="001B4530">
          <w:pPr>
            <w:pStyle w:val="Header"/>
            <w:rPr>
              <w:rFonts w:ascii="Times New Roman" w:hAnsi="Times New Roman" w:cs="Times New Roman"/>
              <w:b/>
              <w:sz w:val="24"/>
              <w:szCs w:val="24"/>
            </w:rPr>
          </w:pPr>
          <w:r w:rsidRPr="00E20983">
            <w:rPr>
              <w:rFonts w:ascii="Times New Roman" w:hAnsi="Times New Roman" w:cs="Times New Roman"/>
              <w:b/>
              <w:sz w:val="24"/>
              <w:szCs w:val="24"/>
            </w:rPr>
            <w:t>First Assistant</w:t>
          </w:r>
        </w:p>
        <w:p w:rsidR="006F3E1B" w:rsidRDefault="006F3E1B" w:rsidP="001B4530">
          <w:pPr>
            <w:pStyle w:val="Header"/>
            <w:rPr>
              <w:rFonts w:ascii="Times New Roman" w:hAnsi="Times New Roman" w:cs="Times New Roman"/>
              <w:b/>
              <w:sz w:val="24"/>
              <w:szCs w:val="24"/>
            </w:rPr>
          </w:pPr>
        </w:p>
        <w:p w:rsidR="006F3E1B" w:rsidRPr="001A4191" w:rsidRDefault="006F3E1B" w:rsidP="001B4530">
          <w:pPr>
            <w:pStyle w:val="Header"/>
            <w:rPr>
              <w:rFonts w:ascii="Times New Roman" w:hAnsi="Times New Roman" w:cs="Times New Roman"/>
              <w:sz w:val="20"/>
              <w:szCs w:val="20"/>
            </w:rPr>
          </w:pPr>
          <w:r w:rsidRPr="001A4191">
            <w:rPr>
              <w:rFonts w:ascii="Times New Roman" w:hAnsi="Times New Roman" w:cs="Times New Roman"/>
              <w:sz w:val="20"/>
              <w:szCs w:val="20"/>
            </w:rPr>
            <w:t>Immediate Release</w:t>
          </w:r>
        </w:p>
        <w:p w:rsidR="006F3E1B" w:rsidRPr="001A4191" w:rsidRDefault="00F20224" w:rsidP="001B4530">
          <w:pPr>
            <w:pStyle w:val="Header"/>
            <w:rPr>
              <w:rFonts w:ascii="Times New Roman" w:hAnsi="Times New Roman" w:cs="Times New Roman"/>
              <w:sz w:val="20"/>
              <w:szCs w:val="20"/>
            </w:rPr>
          </w:pPr>
          <w:r>
            <w:rPr>
              <w:rFonts w:ascii="Times New Roman" w:hAnsi="Times New Roman" w:cs="Times New Roman"/>
              <w:sz w:val="20"/>
              <w:szCs w:val="20"/>
            </w:rPr>
            <w:t>August 29</w:t>
          </w:r>
          <w:r w:rsidR="006F3E1B" w:rsidRPr="001A4191">
            <w:rPr>
              <w:rFonts w:ascii="Times New Roman" w:hAnsi="Times New Roman" w:cs="Times New Roman"/>
              <w:sz w:val="20"/>
              <w:szCs w:val="20"/>
              <w:vertAlign w:val="superscript"/>
            </w:rPr>
            <w:t>th</w:t>
          </w:r>
          <w:r w:rsidR="006F3E1B" w:rsidRPr="001A4191">
            <w:rPr>
              <w:rFonts w:ascii="Times New Roman" w:hAnsi="Times New Roman" w:cs="Times New Roman"/>
              <w:sz w:val="20"/>
              <w:szCs w:val="20"/>
            </w:rPr>
            <w:t>, 2013</w:t>
          </w:r>
        </w:p>
        <w:p w:rsidR="006F3E1B" w:rsidRDefault="006F3E1B" w:rsidP="001B4530">
          <w:pPr>
            <w:pStyle w:val="Header"/>
          </w:pPr>
        </w:p>
      </w:tc>
      <w:tc>
        <w:tcPr>
          <w:tcW w:w="3672" w:type="dxa"/>
          <w:shd w:val="clear" w:color="auto" w:fill="FFFFFF" w:themeFill="background1"/>
        </w:tcPr>
        <w:p w:rsidR="006F3E1B" w:rsidRDefault="006F3E1B" w:rsidP="001B4530">
          <w:pPr>
            <w:pStyle w:val="Header"/>
            <w:jc w:val="center"/>
            <w:rPr>
              <w:noProof/>
            </w:rPr>
          </w:pPr>
        </w:p>
        <w:p w:rsidR="006F3E1B" w:rsidRDefault="006F3E1B" w:rsidP="001B4530">
          <w:pPr>
            <w:pStyle w:val="Header"/>
            <w:jc w:val="center"/>
            <w:rPr>
              <w:noProof/>
            </w:rPr>
          </w:pPr>
        </w:p>
        <w:p w:rsidR="006F3E1B" w:rsidRDefault="006F3E1B" w:rsidP="001B4530">
          <w:pPr>
            <w:pStyle w:val="Header"/>
            <w:jc w:val="center"/>
            <w:rPr>
              <w:noProof/>
            </w:rPr>
          </w:pPr>
        </w:p>
        <w:p w:rsidR="006F3E1B" w:rsidRDefault="008567B1" w:rsidP="001B4530">
          <w:pPr>
            <w:pStyle w:val="Header"/>
            <w:jc w:val="center"/>
          </w:pPr>
          <w:r>
            <w:rPr>
              <w:noProof/>
            </w:rPr>
            <w:pict>
              <v:shapetype id="_x0000_t202" coordsize="21600,21600" o:spt="202" path="m,l,21600r21600,l21600,xe">
                <v:stroke joinstyle="miter"/>
                <v:path gradientshapeok="t" o:connecttype="rect"/>
              </v:shapetype>
              <v:shape id="Text Box 1" o:spid="_x0000_s4099" type="#_x0000_t202" style="position:absolute;left:0;text-align:left;margin-left:0;margin-top:4.95pt;width:310.5pt;height:64.5pt;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" filled="f" stroked="f" strokeweight=".5pt">
                <v:textbox style="mso-next-textbox:#Text Box 1">
                  <w:txbxContent>
                    <w:p w:rsidR="006F3E1B" w:rsidRPr="00FD0B38" w:rsidRDefault="006F3E1B" w:rsidP="006F3E1B">
                      <w:pPr>
                        <w:jc w:val="center"/>
                        <w:rPr>
                          <w:rFonts w:ascii="Times New Roman" w:hAnsi="Times New Roman" w:cs="Times New Roman"/>
                          <w:b/>
                          <w:sz w:val="42"/>
                          <w:szCs w:val="42"/>
                        </w:rPr>
                      </w:pPr>
                      <w:r w:rsidRPr="00FD0B38">
                        <w:rPr>
                          <w:rFonts w:ascii="Times New Roman" w:hAnsi="Times New Roman" w:cs="Times New Roman"/>
                          <w:b/>
                          <w:sz w:val="42"/>
                          <w:szCs w:val="42"/>
                        </w:rPr>
                        <w:t>Harris County District Attorney</w:t>
                      </w:r>
                    </w:p>
                    <w:p w:rsidR="006F3E1B" w:rsidRPr="00B06D80" w:rsidRDefault="006F3E1B" w:rsidP="006F3E1B">
                      <w:pPr>
                        <w:jc w:val="center"/>
                        <w:rPr>
                          <w:rFonts w:ascii="Times New Roman" w:hAnsi="Times New Roman" w:cs="Times New Roman"/>
                          <w:b/>
                          <w:sz w:val="24"/>
                          <w:szCs w:val="24"/>
                        </w:rPr>
                      </w:pPr>
                      <w:r w:rsidRPr="00B06D80">
                        <w:rPr>
                          <w:rFonts w:ascii="Times New Roman" w:hAnsi="Times New Roman" w:cs="Times New Roman"/>
                          <w:b/>
                          <w:sz w:val="24"/>
                          <w:szCs w:val="24"/>
                        </w:rPr>
                        <w:t>MIKE ANDERSON</w:t>
                      </w:r>
                    </w:p>
                  </w:txbxContent>
                </v:textbox>
                <w10:wrap anchorx="margin"/>
              </v:shape>
            </w:pict>
          </w:r>
          <w:r w:rsidR="006F3E1B">
            <w:rPr>
              <w:noProof/>
            </w:rPr>
            <w:drawing>
              <wp:inline distT="0" distB="0" distL="0" distR="0">
                <wp:extent cx="914400" cy="914400"/>
                <wp:effectExtent l="0" t="0" r="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arent25.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4400" cy="914400"/>
                        </a:xfrm>
                        <a:prstGeom prst="rect">
                          <a:avLst/>
                        </a:prstGeom>
                      </pic:spPr>
                    </pic:pic>
                  </a:graphicData>
                </a:graphic>
              </wp:inline>
            </w:drawing>
          </w:r>
        </w:p>
      </w:tc>
      <w:tc>
        <w:tcPr>
          <w:tcW w:w="3672" w:type="dxa"/>
          <w:shd w:val="clear" w:color="auto" w:fill="FFFFFF" w:themeFill="background1"/>
        </w:tcPr>
        <w:p w:rsidR="006F3E1B" w:rsidRPr="00E20983" w:rsidRDefault="006F3E1B" w:rsidP="001B4530">
          <w:pPr>
            <w:pStyle w:val="Header"/>
            <w:jc w:val="right"/>
            <w:rPr>
              <w:rFonts w:ascii="Times New Roman" w:hAnsi="Times New Roman" w:cs="Times New Roman"/>
              <w:b/>
              <w:sz w:val="20"/>
              <w:szCs w:val="20"/>
            </w:rPr>
          </w:pPr>
          <w:r w:rsidRPr="00E20983">
            <w:rPr>
              <w:rFonts w:ascii="Times New Roman" w:hAnsi="Times New Roman" w:cs="Times New Roman"/>
              <w:b/>
              <w:sz w:val="20"/>
              <w:szCs w:val="20"/>
            </w:rPr>
            <w:t>Criminal Justice Center</w:t>
          </w:r>
        </w:p>
        <w:p w:rsidR="006F3E1B" w:rsidRPr="00E20983" w:rsidRDefault="006F3E1B" w:rsidP="001B4530">
          <w:pPr>
            <w:pStyle w:val="Header"/>
            <w:jc w:val="right"/>
            <w:rPr>
              <w:rFonts w:ascii="Times New Roman" w:hAnsi="Times New Roman" w:cs="Times New Roman"/>
              <w:b/>
              <w:sz w:val="20"/>
              <w:szCs w:val="20"/>
            </w:rPr>
          </w:pPr>
          <w:r w:rsidRPr="00E20983">
            <w:rPr>
              <w:rFonts w:ascii="Times New Roman" w:hAnsi="Times New Roman" w:cs="Times New Roman"/>
              <w:b/>
              <w:sz w:val="20"/>
              <w:szCs w:val="20"/>
            </w:rPr>
            <w:t>1201 Franklin, Suite 600</w:t>
          </w:r>
        </w:p>
        <w:p w:rsidR="006F3E1B" w:rsidRDefault="006F3E1B" w:rsidP="001B4530">
          <w:pPr>
            <w:pStyle w:val="Header"/>
            <w:jc w:val="right"/>
            <w:rPr>
              <w:rFonts w:ascii="Times New Roman" w:hAnsi="Times New Roman" w:cs="Times New Roman"/>
              <w:b/>
              <w:sz w:val="20"/>
              <w:szCs w:val="20"/>
            </w:rPr>
          </w:pPr>
          <w:r>
            <w:rPr>
              <w:rFonts w:ascii="Times New Roman" w:hAnsi="Times New Roman" w:cs="Times New Roman"/>
              <w:b/>
              <w:sz w:val="20"/>
              <w:szCs w:val="20"/>
            </w:rPr>
            <w:t xml:space="preserve">Houston, Texas 77002 </w:t>
          </w:r>
          <w:r w:rsidRPr="00E20983">
            <w:rPr>
              <w:rFonts w:ascii="Times New Roman" w:hAnsi="Times New Roman" w:cs="Times New Roman"/>
              <w:b/>
              <w:sz w:val="20"/>
              <w:szCs w:val="20"/>
            </w:rPr>
            <w:t>901</w:t>
          </w:r>
        </w:p>
        <w:p w:rsidR="006F3E1B" w:rsidRDefault="006F3E1B" w:rsidP="001B4530">
          <w:pPr>
            <w:pStyle w:val="Header"/>
            <w:jc w:val="right"/>
            <w:rPr>
              <w:rFonts w:ascii="Times New Roman" w:hAnsi="Times New Roman" w:cs="Times New Roman"/>
              <w:b/>
              <w:sz w:val="20"/>
              <w:szCs w:val="20"/>
            </w:rPr>
          </w:pPr>
        </w:p>
        <w:p w:rsidR="006F3E1B" w:rsidRDefault="006F3E1B" w:rsidP="001B4530">
          <w:pPr>
            <w:pStyle w:val="Header"/>
            <w:jc w:val="right"/>
            <w:rPr>
              <w:rFonts w:ascii="Times New Roman" w:hAnsi="Times New Roman" w:cs="Times New Roman"/>
              <w:b/>
              <w:sz w:val="20"/>
              <w:szCs w:val="20"/>
              <w:u w:val="single"/>
            </w:rPr>
          </w:pPr>
          <w:r w:rsidRPr="00B47C3A">
            <w:rPr>
              <w:rFonts w:ascii="Times New Roman" w:hAnsi="Times New Roman" w:cs="Times New Roman"/>
              <w:b/>
              <w:sz w:val="20"/>
              <w:szCs w:val="20"/>
              <w:u w:val="single"/>
            </w:rPr>
            <w:t>Contact</w:t>
          </w:r>
        </w:p>
        <w:p w:rsidR="006F3E1B" w:rsidRPr="00B47C3A" w:rsidRDefault="006F3E1B" w:rsidP="001B4530">
          <w:pPr>
            <w:pStyle w:val="Header"/>
            <w:jc w:val="right"/>
            <w:rPr>
              <w:rFonts w:ascii="Times New Roman" w:hAnsi="Times New Roman" w:cs="Times New Roman"/>
              <w:sz w:val="20"/>
              <w:szCs w:val="20"/>
            </w:rPr>
          </w:pPr>
          <w:r w:rsidRPr="00B47C3A">
            <w:rPr>
              <w:rFonts w:ascii="Times New Roman" w:hAnsi="Times New Roman" w:cs="Times New Roman"/>
              <w:sz w:val="20"/>
              <w:szCs w:val="20"/>
            </w:rPr>
            <w:t>Camille Hepola</w:t>
          </w:r>
        </w:p>
        <w:p w:rsidR="006F3E1B" w:rsidRDefault="006F3E1B" w:rsidP="001B4530">
          <w:pPr>
            <w:pStyle w:val="Header"/>
            <w:jc w:val="right"/>
            <w:rPr>
              <w:rFonts w:ascii="Times New Roman" w:hAnsi="Times New Roman" w:cs="Times New Roman"/>
              <w:sz w:val="20"/>
              <w:szCs w:val="20"/>
            </w:rPr>
          </w:pPr>
          <w:r>
            <w:rPr>
              <w:rFonts w:ascii="Times New Roman" w:hAnsi="Times New Roman" w:cs="Times New Roman"/>
              <w:sz w:val="20"/>
              <w:szCs w:val="20"/>
            </w:rPr>
            <w:t>Jeff McShan</w:t>
          </w:r>
        </w:p>
        <w:p w:rsidR="006F3E1B" w:rsidRPr="00B47C3A" w:rsidRDefault="006F3E1B" w:rsidP="001B4530">
          <w:pPr>
            <w:pStyle w:val="Header"/>
            <w:jc w:val="right"/>
            <w:rPr>
              <w:rFonts w:ascii="Times New Roman" w:hAnsi="Times New Roman" w:cs="Times New Roman"/>
              <w:sz w:val="20"/>
              <w:szCs w:val="20"/>
            </w:rPr>
          </w:pPr>
          <w:r w:rsidRPr="00B47C3A">
            <w:rPr>
              <w:rFonts w:ascii="Times New Roman" w:hAnsi="Times New Roman" w:cs="Times New Roman"/>
              <w:sz w:val="20"/>
              <w:szCs w:val="20"/>
            </w:rPr>
            <w:t xml:space="preserve"> (713) 755-0122</w:t>
          </w:r>
        </w:p>
        <w:p w:rsidR="006F3E1B" w:rsidRPr="00B47C3A" w:rsidRDefault="006F3E1B" w:rsidP="001B4530">
          <w:pPr>
            <w:pStyle w:val="Header"/>
            <w:jc w:val="right"/>
            <w:rPr>
              <w:rFonts w:ascii="Times New Roman" w:hAnsi="Times New Roman" w:cs="Times New Roman"/>
              <w:sz w:val="20"/>
              <w:szCs w:val="20"/>
            </w:rPr>
          </w:pPr>
        </w:p>
        <w:p w:rsidR="006F3E1B" w:rsidRDefault="006F3E1B" w:rsidP="001B4530">
          <w:pPr>
            <w:pStyle w:val="Header"/>
            <w:jc w:val="right"/>
            <w:rPr>
              <w:rFonts w:ascii="Times New Roman" w:hAnsi="Times New Roman" w:cs="Times New Roman"/>
              <w:b/>
              <w:sz w:val="20"/>
              <w:szCs w:val="20"/>
            </w:rPr>
          </w:pPr>
        </w:p>
        <w:p w:rsidR="006F3E1B" w:rsidRDefault="006F3E1B" w:rsidP="001B4530">
          <w:pPr>
            <w:pStyle w:val="Header"/>
            <w:jc w:val="right"/>
          </w:pPr>
        </w:p>
      </w:tc>
    </w:tr>
  </w:tbl>
  <w:p w:rsidR="006F3E1B" w:rsidRDefault="006F3E1B">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4101"/>
    <o:shapelayout v:ext="edit">
      <o:idmap v:ext="edit" data="4"/>
    </o:shapelayout>
  </w:hdrShapeDefaults>
  <w:footnotePr>
    <w:footnote w:id="-1"/>
    <w:footnote w:id="0"/>
  </w:footnotePr>
  <w:endnotePr>
    <w:endnote w:id="-1"/>
    <w:endnote w:id="0"/>
  </w:endnotePr>
  <w:compat/>
  <w:rsids>
    <w:rsidRoot w:val="00E20983"/>
    <w:rsid w:val="000644BA"/>
    <w:rsid w:val="001A4191"/>
    <w:rsid w:val="00247D52"/>
    <w:rsid w:val="003350F7"/>
    <w:rsid w:val="00412B5F"/>
    <w:rsid w:val="004E0517"/>
    <w:rsid w:val="005D2B39"/>
    <w:rsid w:val="00693ED9"/>
    <w:rsid w:val="006F3E1B"/>
    <w:rsid w:val="007749E3"/>
    <w:rsid w:val="008567B1"/>
    <w:rsid w:val="008971C4"/>
    <w:rsid w:val="008D53FB"/>
    <w:rsid w:val="00B06D80"/>
    <w:rsid w:val="00B47C3A"/>
    <w:rsid w:val="00CA37F5"/>
    <w:rsid w:val="00D03519"/>
    <w:rsid w:val="00E20983"/>
    <w:rsid w:val="00E8796D"/>
    <w:rsid w:val="00F20224"/>
    <w:rsid w:val="00F55617"/>
    <w:rsid w:val="00FD0B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3F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09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0983"/>
  </w:style>
  <w:style w:type="paragraph" w:styleId="Footer">
    <w:name w:val="footer"/>
    <w:basedOn w:val="Normal"/>
    <w:link w:val="FooterChar"/>
    <w:uiPriority w:val="99"/>
    <w:unhideWhenUsed/>
    <w:rsid w:val="00E209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0983"/>
  </w:style>
  <w:style w:type="table" w:styleId="TableGrid">
    <w:name w:val="Table Grid"/>
    <w:basedOn w:val="TableNormal"/>
    <w:uiPriority w:val="59"/>
    <w:rsid w:val="00E209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209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983"/>
    <w:rPr>
      <w:rFonts w:ascii="Tahoma" w:hAnsi="Tahoma" w:cs="Tahoma"/>
      <w:sz w:val="16"/>
      <w:szCs w:val="16"/>
    </w:rPr>
  </w:style>
  <w:style w:type="paragraph" w:customStyle="1" w:styleId="BodyA">
    <w:name w:val="Body A"/>
    <w:autoRedefine/>
    <w:rsid w:val="00F55617"/>
    <w:pPr>
      <w:spacing w:after="0" w:line="240" w:lineRule="auto"/>
    </w:pPr>
    <w:rPr>
      <w:rFonts w:ascii="Helvetica" w:eastAsia="ヒラギノ角ゴ Pro W3" w:hAnsi="Helvetica" w:cs="Times New Roman"/>
      <w:color w:val="000000"/>
      <w:sz w:val="24"/>
      <w:szCs w:val="20"/>
    </w:rPr>
  </w:style>
  <w:style w:type="paragraph" w:customStyle="1" w:styleId="TitleA">
    <w:name w:val="Title A"/>
    <w:next w:val="BodyA"/>
    <w:rsid w:val="00F55617"/>
    <w:pPr>
      <w:keepNext/>
      <w:spacing w:after="0" w:line="240" w:lineRule="auto"/>
      <w:outlineLvl w:val="0"/>
    </w:pPr>
    <w:rPr>
      <w:rFonts w:ascii="Helvetica" w:eastAsia="ヒラギノ角ゴ Pro W3" w:hAnsi="Helvetica" w:cs="Times New Roman"/>
      <w:b/>
      <w:color w:val="000000"/>
      <w:sz w:val="5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09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0983"/>
  </w:style>
  <w:style w:type="paragraph" w:styleId="Footer">
    <w:name w:val="footer"/>
    <w:basedOn w:val="Normal"/>
    <w:link w:val="FooterChar"/>
    <w:uiPriority w:val="99"/>
    <w:unhideWhenUsed/>
    <w:rsid w:val="00E209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0983"/>
  </w:style>
  <w:style w:type="table" w:styleId="TableGrid">
    <w:name w:val="Table Grid"/>
    <w:basedOn w:val="TableNormal"/>
    <w:uiPriority w:val="59"/>
    <w:rsid w:val="00E209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209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98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C615DB-EBF5-457B-9A27-60BC2F712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284</Words>
  <Characters>1625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 Anda, Juan</dc:creator>
  <cp:lastModifiedBy>hepola_camille</cp:lastModifiedBy>
  <cp:revision>5</cp:revision>
  <cp:lastPrinted>2013-08-23T20:12:00Z</cp:lastPrinted>
  <dcterms:created xsi:type="dcterms:W3CDTF">2013-08-23T20:07:00Z</dcterms:created>
  <dcterms:modified xsi:type="dcterms:W3CDTF">2013-08-27T20:46:00Z</dcterms:modified>
</cp:coreProperties>
</file>